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66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 Тема: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Мегалобластные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анемии. В</w:t>
      </w:r>
      <w:r w:rsidRPr="00787766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- и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фолиеводефицитные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анемии»</w:t>
      </w:r>
    </w:p>
    <w:p w:rsidR="00787766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7766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29C8">
        <w:rPr>
          <w:rFonts w:ascii="Times New Roman" w:hAnsi="Times New Roman"/>
          <w:b/>
          <w:color w:val="000000"/>
          <w:sz w:val="28"/>
          <w:szCs w:val="28"/>
          <w:u w:val="single"/>
        </w:rPr>
        <w:t>Цель занятия:</w:t>
      </w:r>
      <w:r w:rsidRPr="00292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7766">
        <w:rPr>
          <w:rFonts w:ascii="Times New Roman" w:hAnsi="Times New Roman"/>
          <w:color w:val="000000"/>
          <w:sz w:val="28"/>
          <w:szCs w:val="28"/>
        </w:rPr>
        <w:t xml:space="preserve">формирование профессиональных знаний и умений диагностики и назначения лечения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мегалобластных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87766">
        <w:rPr>
          <w:rFonts w:ascii="Times New Roman" w:hAnsi="Times New Roman"/>
          <w:color w:val="000000"/>
          <w:sz w:val="28"/>
          <w:szCs w:val="28"/>
        </w:rPr>
        <w:t>В</w:t>
      </w:r>
      <w:r w:rsidRPr="00787766">
        <w:rPr>
          <w:rFonts w:ascii="Times New Roman" w:hAnsi="Times New Roman"/>
          <w:color w:val="000000"/>
          <w:sz w:val="28"/>
          <w:szCs w:val="28"/>
          <w:vertAlign w:val="subscript"/>
        </w:rPr>
        <w:t>12</w:t>
      </w:r>
      <w:r w:rsidRPr="0078776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787766">
        <w:rPr>
          <w:rFonts w:ascii="Times New Roman" w:hAnsi="Times New Roman"/>
          <w:color w:val="000000"/>
          <w:sz w:val="28"/>
          <w:szCs w:val="28"/>
        </w:rPr>
        <w:t>фолиево</w:t>
      </w:r>
      <w:proofErr w:type="spellEnd"/>
      <w:r w:rsidRPr="00787766">
        <w:rPr>
          <w:rFonts w:ascii="Times New Roman" w:hAnsi="Times New Roman"/>
          <w:color w:val="000000"/>
          <w:sz w:val="28"/>
          <w:szCs w:val="28"/>
        </w:rPr>
        <w:t xml:space="preserve"> – дефицитных анеми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:rsidR="00787766" w:rsidRPr="002929C8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7766" w:rsidRPr="0008628B" w:rsidRDefault="00787766" w:rsidP="007877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b/>
          <w:sz w:val="24"/>
          <w:szCs w:val="24"/>
        </w:rPr>
        <w:t>Уровень подготовленности по теме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766" w:rsidRDefault="00787766" w:rsidP="0078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526">
        <w:rPr>
          <w:rFonts w:ascii="Times New Roman" w:hAnsi="Times New Roman" w:cs="Times New Roman"/>
          <w:sz w:val="24"/>
          <w:szCs w:val="24"/>
        </w:rPr>
        <w:t xml:space="preserve">В результате изучения темы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C3526">
        <w:rPr>
          <w:rFonts w:ascii="Times New Roman" w:hAnsi="Times New Roman" w:cs="Times New Roman"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C3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66" w:rsidRPr="00BC3526" w:rsidRDefault="00787766" w:rsidP="00787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BC3526">
        <w:rPr>
          <w:rFonts w:ascii="Times New Roman" w:hAnsi="Times New Roman" w:cs="Times New Roman"/>
          <w:sz w:val="24"/>
          <w:szCs w:val="24"/>
        </w:rPr>
        <w:t>: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-производить расспрос и осмотр больных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анемией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поставить предварительный диагноз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анемии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-назначать и интерпретировать результаты лабораторных и инструментальных методов исследования.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-назначить лечение.</w:t>
      </w:r>
    </w:p>
    <w:p w:rsidR="00787766" w:rsidRPr="00BC3526" w:rsidRDefault="00787766" w:rsidP="00787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C35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этиологию, патогенез, клинику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анемии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алгоритм обследования пациента при подозрении 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анемию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диагностические признаки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-лечение</w:t>
      </w:r>
    </w:p>
    <w:p w:rsidR="00787766" w:rsidRPr="002929C8" w:rsidRDefault="00787766" w:rsidP="007877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>долж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ен</w:t>
      </w: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быть выработан навык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929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>- сбора жалоб и анамнеза</w:t>
      </w:r>
    </w:p>
    <w:p w:rsidR="00787766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осмотра больных </w:t>
      </w:r>
      <w:r>
        <w:rPr>
          <w:rFonts w:ascii="Times New Roman" w:hAnsi="Times New Roman" w:cs="Times New Roman"/>
          <w:sz w:val="24"/>
          <w:szCs w:val="24"/>
        </w:rPr>
        <w:t>с 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анемией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постановки предварительного диагноза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анемии с указанием степени тяжести</w:t>
      </w:r>
    </w:p>
    <w:p w:rsidR="00787766" w:rsidRPr="0008628B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 составления плана обследования больных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анемией</w:t>
      </w:r>
    </w:p>
    <w:p w:rsidR="00787766" w:rsidRPr="002929C8" w:rsidRDefault="00787766" w:rsidP="007877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28B">
        <w:rPr>
          <w:rFonts w:ascii="Times New Roman" w:hAnsi="Times New Roman" w:cs="Times New Roman"/>
          <w:sz w:val="24"/>
          <w:szCs w:val="24"/>
        </w:rPr>
        <w:t xml:space="preserve">-лечение больных с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7766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фолиеводефицитной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анемией</w:t>
      </w:r>
    </w:p>
    <w:p w:rsidR="00787766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87766" w:rsidRDefault="0078776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вопросы.</w:t>
      </w:r>
    </w:p>
    <w:p w:rsidR="00C94986" w:rsidRPr="00787766" w:rsidRDefault="00C94986" w:rsidP="0078776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4986" w:rsidRDefault="00C94986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Особенности метаболизма </w:t>
      </w:r>
      <w:proofErr w:type="gramStart"/>
      <w:r>
        <w:rPr>
          <w:color w:val="000000"/>
          <w:sz w:val="27"/>
          <w:szCs w:val="27"/>
        </w:rPr>
        <w:t>вит</w:t>
      </w:r>
      <w:proofErr w:type="gramEnd"/>
      <w:r>
        <w:rPr>
          <w:color w:val="000000"/>
          <w:sz w:val="27"/>
          <w:szCs w:val="27"/>
        </w:rPr>
        <w:t>. В</w:t>
      </w:r>
      <w:r w:rsidRPr="00C94986">
        <w:rPr>
          <w:color w:val="000000"/>
          <w:sz w:val="27"/>
          <w:szCs w:val="27"/>
          <w:vertAlign w:val="subscript"/>
        </w:rPr>
        <w:t xml:space="preserve">12 </w:t>
      </w:r>
      <w:r>
        <w:rPr>
          <w:color w:val="000000"/>
          <w:sz w:val="27"/>
          <w:szCs w:val="27"/>
        </w:rPr>
        <w:t>в организме человека.</w:t>
      </w:r>
    </w:p>
    <w:p w:rsidR="00C94986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 w:rsidR="00C94986">
        <w:rPr>
          <w:color w:val="000000"/>
          <w:sz w:val="27"/>
          <w:szCs w:val="27"/>
        </w:rPr>
        <w:t xml:space="preserve">. </w:t>
      </w:r>
      <w:proofErr w:type="spellStart"/>
      <w:r w:rsidR="00C94986">
        <w:rPr>
          <w:color w:val="000000"/>
          <w:sz w:val="27"/>
          <w:szCs w:val="27"/>
        </w:rPr>
        <w:t>Мегалобластные</w:t>
      </w:r>
      <w:proofErr w:type="spellEnd"/>
      <w:r w:rsidR="00C94986">
        <w:rPr>
          <w:color w:val="000000"/>
          <w:sz w:val="27"/>
          <w:szCs w:val="27"/>
        </w:rPr>
        <w:t xml:space="preserve"> анемии: определение, патогенез.</w:t>
      </w:r>
    </w:p>
    <w:p w:rsidR="00C94986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 w:rsidR="00C94986">
        <w:rPr>
          <w:color w:val="000000"/>
          <w:sz w:val="27"/>
          <w:szCs w:val="27"/>
        </w:rPr>
        <w:t>. В</w:t>
      </w:r>
      <w:r w:rsidR="00C94986" w:rsidRPr="00C94986">
        <w:rPr>
          <w:color w:val="000000"/>
          <w:sz w:val="27"/>
          <w:szCs w:val="27"/>
          <w:vertAlign w:val="subscript"/>
        </w:rPr>
        <w:t>12</w:t>
      </w:r>
      <w:r w:rsidR="00C94986">
        <w:rPr>
          <w:color w:val="000000"/>
          <w:sz w:val="27"/>
          <w:szCs w:val="27"/>
        </w:rPr>
        <w:t>-дефицитная анемия: этиология, патогенез, клинические синдромы.</w:t>
      </w:r>
    </w:p>
    <w:p w:rsidR="00C94986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C94986">
        <w:rPr>
          <w:color w:val="000000"/>
          <w:sz w:val="27"/>
          <w:szCs w:val="27"/>
        </w:rPr>
        <w:t>. В</w:t>
      </w:r>
      <w:r w:rsidR="00C94986" w:rsidRPr="00C94986">
        <w:rPr>
          <w:color w:val="000000"/>
          <w:sz w:val="27"/>
          <w:szCs w:val="27"/>
          <w:vertAlign w:val="subscript"/>
        </w:rPr>
        <w:t>12</w:t>
      </w:r>
      <w:r w:rsidR="00C94986">
        <w:rPr>
          <w:color w:val="000000"/>
          <w:sz w:val="27"/>
          <w:szCs w:val="27"/>
        </w:rPr>
        <w:t>-дефицитная анемия: диагностика, лечебная тактика.</w:t>
      </w:r>
    </w:p>
    <w:p w:rsidR="00C94986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="00C94986">
        <w:rPr>
          <w:color w:val="000000"/>
          <w:sz w:val="27"/>
          <w:szCs w:val="27"/>
        </w:rPr>
        <w:t xml:space="preserve">. </w:t>
      </w:r>
      <w:proofErr w:type="spellStart"/>
      <w:r w:rsidR="00C94986">
        <w:rPr>
          <w:color w:val="000000"/>
          <w:sz w:val="27"/>
          <w:szCs w:val="27"/>
        </w:rPr>
        <w:t>Фолиеводефицитная</w:t>
      </w:r>
      <w:proofErr w:type="spellEnd"/>
      <w:r w:rsidR="00C94986">
        <w:rPr>
          <w:color w:val="000000"/>
          <w:sz w:val="27"/>
          <w:szCs w:val="27"/>
        </w:rPr>
        <w:t xml:space="preserve"> анемия: патогенез, клиника.</w:t>
      </w:r>
    </w:p>
    <w:p w:rsidR="00C94986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="00C94986">
        <w:rPr>
          <w:color w:val="000000"/>
          <w:sz w:val="27"/>
          <w:szCs w:val="27"/>
        </w:rPr>
        <w:t xml:space="preserve">. </w:t>
      </w:r>
      <w:proofErr w:type="spellStart"/>
      <w:r w:rsidR="00C94986">
        <w:rPr>
          <w:color w:val="000000"/>
          <w:sz w:val="27"/>
          <w:szCs w:val="27"/>
        </w:rPr>
        <w:t>Фолиеводефицитная</w:t>
      </w:r>
      <w:proofErr w:type="spellEnd"/>
      <w:r w:rsidR="00C94986">
        <w:rPr>
          <w:color w:val="000000"/>
          <w:sz w:val="27"/>
          <w:szCs w:val="27"/>
        </w:rPr>
        <w:t xml:space="preserve"> анемия: диагностика, лечение</w:t>
      </w:r>
      <w:r>
        <w:rPr>
          <w:color w:val="000000"/>
          <w:sz w:val="27"/>
          <w:szCs w:val="27"/>
        </w:rPr>
        <w:t>.</w:t>
      </w:r>
    </w:p>
    <w:p w:rsidR="00E1116D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Дифференциальная диагностика </w:t>
      </w:r>
      <w:proofErr w:type="spellStart"/>
      <w:r>
        <w:rPr>
          <w:color w:val="000000"/>
          <w:sz w:val="27"/>
          <w:szCs w:val="27"/>
        </w:rPr>
        <w:t>мегалобластных</w:t>
      </w:r>
      <w:proofErr w:type="spellEnd"/>
      <w:r>
        <w:rPr>
          <w:color w:val="000000"/>
          <w:sz w:val="27"/>
          <w:szCs w:val="27"/>
        </w:rPr>
        <w:t xml:space="preserve"> и железодефицитных анемий.</w:t>
      </w:r>
    </w:p>
    <w:p w:rsidR="00E1116D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E1116D" w:rsidRDefault="00E1116D" w:rsidP="00C94986">
      <w:pPr>
        <w:pStyle w:val="a4"/>
        <w:spacing w:before="0" w:beforeAutospacing="0" w:after="0" w:afterAutospacing="0" w:line="360" w:lineRule="auto"/>
        <w:rPr>
          <w:color w:val="000000"/>
          <w:sz w:val="27"/>
          <w:szCs w:val="27"/>
        </w:rPr>
      </w:pPr>
    </w:p>
    <w:p w:rsidR="00787766" w:rsidRPr="00C94986" w:rsidRDefault="00787766" w:rsidP="00787766">
      <w:pPr>
        <w:pStyle w:val="a4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80AF8" w:rsidRDefault="00787766" w:rsidP="00C949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98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Для формирования практических умений ознакомьтесь с примером разбора ситуационной задачи:</w:t>
      </w:r>
    </w:p>
    <w:p w:rsidR="00C94986" w:rsidRPr="00C94986" w:rsidRDefault="00C94986" w:rsidP="00C9498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94986" w:rsidRPr="00C94986" w:rsidRDefault="00C94986" w:rsidP="00C9498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</w:rPr>
        <w:t xml:space="preserve">Больная 65 лет предъявляет жалобы на одышку при ходьбе, общую слабость, плохой аппетит, чувство онемения в конечностях, шаткую походку. </w:t>
      </w:r>
    </w:p>
    <w:p w:rsidR="00C94986" w:rsidRPr="00C94986" w:rsidRDefault="00C94986" w:rsidP="00C9498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986">
        <w:rPr>
          <w:rFonts w:ascii="Times New Roman" w:hAnsi="Times New Roman"/>
          <w:sz w:val="28"/>
          <w:szCs w:val="28"/>
        </w:rPr>
        <w:t>Больна</w:t>
      </w:r>
      <w:proofErr w:type="gramEnd"/>
      <w:r w:rsidRPr="00C94986">
        <w:rPr>
          <w:rFonts w:ascii="Times New Roman" w:hAnsi="Times New Roman"/>
          <w:sz w:val="28"/>
          <w:szCs w:val="28"/>
        </w:rPr>
        <w:t xml:space="preserve"> в течение 6 месяцев. </w:t>
      </w:r>
    </w:p>
    <w:p w:rsidR="00C94986" w:rsidRPr="00C94986" w:rsidRDefault="00C94986" w:rsidP="00C9498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</w:rPr>
        <w:t xml:space="preserve">Объективно: кожные покровы и </w:t>
      </w:r>
      <w:proofErr w:type="gramStart"/>
      <w:r w:rsidRPr="00C94986">
        <w:rPr>
          <w:rFonts w:ascii="Times New Roman" w:hAnsi="Times New Roman"/>
          <w:sz w:val="28"/>
          <w:szCs w:val="28"/>
        </w:rPr>
        <w:t>слизистые</w:t>
      </w:r>
      <w:proofErr w:type="gramEnd"/>
      <w:r w:rsidRPr="00C94986">
        <w:rPr>
          <w:rFonts w:ascii="Times New Roman" w:hAnsi="Times New Roman"/>
          <w:sz w:val="28"/>
          <w:szCs w:val="28"/>
        </w:rPr>
        <w:t xml:space="preserve"> бледные с желтушным оттенком. </w:t>
      </w:r>
      <w:proofErr w:type="spellStart"/>
      <w:r w:rsidRPr="00C94986">
        <w:rPr>
          <w:rFonts w:ascii="Times New Roman" w:hAnsi="Times New Roman"/>
          <w:sz w:val="28"/>
          <w:szCs w:val="28"/>
        </w:rPr>
        <w:t>Лимфоузлы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Pr="00C94986">
        <w:rPr>
          <w:rFonts w:ascii="Times New Roman" w:hAnsi="Times New Roman"/>
          <w:sz w:val="28"/>
          <w:szCs w:val="28"/>
        </w:rPr>
        <w:t>увеличены</w:t>
      </w:r>
      <w:proofErr w:type="gramEnd"/>
      <w:r w:rsidRPr="00C94986">
        <w:rPr>
          <w:rFonts w:ascii="Times New Roman" w:hAnsi="Times New Roman"/>
          <w:sz w:val="28"/>
          <w:szCs w:val="28"/>
        </w:rPr>
        <w:t xml:space="preserve">, отёков нет. В лёгких дыхание везикулярное, хрипов нет. Тоны сердца приглушены, ритмичные, дующий систолический шум на верхушке. ЧСС 90 ударов в минуту. АД 110/60 </w:t>
      </w:r>
      <w:proofErr w:type="spellStart"/>
      <w:r w:rsidRPr="00C94986">
        <w:rPr>
          <w:rFonts w:ascii="Times New Roman" w:hAnsi="Times New Roman"/>
          <w:sz w:val="28"/>
          <w:szCs w:val="28"/>
        </w:rPr>
        <w:t>мм</w:t>
      </w:r>
      <w:proofErr w:type="gramStart"/>
      <w:r w:rsidRPr="00C94986">
        <w:rPr>
          <w:rFonts w:ascii="Times New Roman" w:hAnsi="Times New Roman"/>
          <w:sz w:val="28"/>
          <w:szCs w:val="28"/>
        </w:rPr>
        <w:t>.р</w:t>
      </w:r>
      <w:proofErr w:type="gramEnd"/>
      <w:r w:rsidRPr="00C94986">
        <w:rPr>
          <w:rFonts w:ascii="Times New Roman" w:hAnsi="Times New Roman"/>
          <w:sz w:val="28"/>
          <w:szCs w:val="28"/>
        </w:rPr>
        <w:t>т.ст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. Язык со сглаженными сосочками, печень и селезёнка не пальпируются. При неврологическом обследовании – нарушение глубокой чувствительности. </w:t>
      </w:r>
    </w:p>
    <w:p w:rsidR="00C94986" w:rsidRPr="00C94986" w:rsidRDefault="00C94986" w:rsidP="00C94986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986">
        <w:rPr>
          <w:rFonts w:ascii="Times New Roman" w:hAnsi="Times New Roman"/>
          <w:sz w:val="28"/>
          <w:szCs w:val="28"/>
        </w:rPr>
        <w:t>Общий анализ крови: гемоглобин – 85 г/л, эритроциты – 2,1х10</w:t>
      </w:r>
      <w:r w:rsidRPr="00C94986">
        <w:rPr>
          <w:rFonts w:ascii="Times New Roman" w:hAnsi="Times New Roman"/>
          <w:sz w:val="28"/>
          <w:szCs w:val="28"/>
          <w:vertAlign w:val="superscript"/>
        </w:rPr>
        <w:t>12</w:t>
      </w:r>
      <w:r w:rsidRPr="00C94986">
        <w:rPr>
          <w:rFonts w:ascii="Times New Roman" w:hAnsi="Times New Roman"/>
          <w:sz w:val="28"/>
          <w:szCs w:val="28"/>
        </w:rPr>
        <w:t>/л, цветовой показатель – 1,2, тромбоциты – 45,3х10</w:t>
      </w:r>
      <w:r w:rsidRPr="00C94986">
        <w:rPr>
          <w:rFonts w:ascii="Times New Roman" w:hAnsi="Times New Roman"/>
          <w:sz w:val="28"/>
          <w:szCs w:val="28"/>
          <w:vertAlign w:val="superscript"/>
        </w:rPr>
        <w:t>9</w:t>
      </w:r>
      <w:r w:rsidRPr="00C94986">
        <w:rPr>
          <w:rFonts w:ascii="Times New Roman" w:hAnsi="Times New Roman"/>
          <w:sz w:val="28"/>
          <w:szCs w:val="28"/>
        </w:rPr>
        <w:t xml:space="preserve">/л, </w:t>
      </w:r>
      <w:proofErr w:type="spellStart"/>
      <w:r w:rsidRPr="00C94986">
        <w:rPr>
          <w:rFonts w:ascii="Times New Roman" w:hAnsi="Times New Roman"/>
          <w:sz w:val="28"/>
          <w:szCs w:val="28"/>
        </w:rPr>
        <w:t>ретикулоциты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 – 2%, базофилы – 0, эозинофилы – 1%, лейкоциты - 3,1х10</w:t>
      </w:r>
      <w:r w:rsidRPr="00C94986">
        <w:rPr>
          <w:rFonts w:ascii="Times New Roman" w:hAnsi="Times New Roman"/>
          <w:sz w:val="28"/>
          <w:szCs w:val="28"/>
          <w:vertAlign w:val="superscript"/>
        </w:rPr>
        <w:t>9</w:t>
      </w:r>
      <w:r w:rsidRPr="00C94986">
        <w:rPr>
          <w:rFonts w:ascii="Times New Roman" w:hAnsi="Times New Roman"/>
          <w:sz w:val="28"/>
          <w:szCs w:val="28"/>
        </w:rPr>
        <w:t>/л (</w:t>
      </w:r>
      <w:proofErr w:type="spellStart"/>
      <w:r w:rsidRPr="00C94986">
        <w:rPr>
          <w:rFonts w:ascii="Times New Roman" w:hAnsi="Times New Roman"/>
          <w:sz w:val="28"/>
          <w:szCs w:val="28"/>
        </w:rPr>
        <w:t>палочкоядерные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 – 4%, сегментоядерные – 58%, лимфоциты – 30%, моноциты – 7%), СОЭ – 28 мм/ч.</w:t>
      </w:r>
      <w:proofErr w:type="gramEnd"/>
    </w:p>
    <w:p w:rsidR="00C94986" w:rsidRDefault="00C94986" w:rsidP="00C94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</w:rPr>
        <w:t xml:space="preserve">Мазок крови: </w:t>
      </w:r>
      <w:proofErr w:type="spellStart"/>
      <w:r w:rsidRPr="00C94986">
        <w:rPr>
          <w:rFonts w:ascii="Times New Roman" w:hAnsi="Times New Roman"/>
          <w:sz w:val="28"/>
          <w:szCs w:val="28"/>
        </w:rPr>
        <w:t>макроциты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986">
        <w:rPr>
          <w:rFonts w:ascii="Times New Roman" w:hAnsi="Times New Roman"/>
          <w:sz w:val="28"/>
          <w:szCs w:val="28"/>
        </w:rPr>
        <w:t>мегалоциты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94986">
        <w:rPr>
          <w:rFonts w:ascii="Times New Roman" w:hAnsi="Times New Roman"/>
          <w:sz w:val="28"/>
          <w:szCs w:val="28"/>
        </w:rPr>
        <w:t>гиперсегментация</w:t>
      </w:r>
      <w:proofErr w:type="spellEnd"/>
      <w:r w:rsidRPr="00C94986">
        <w:rPr>
          <w:rFonts w:ascii="Times New Roman" w:hAnsi="Times New Roman"/>
          <w:sz w:val="28"/>
          <w:szCs w:val="28"/>
        </w:rPr>
        <w:t xml:space="preserve"> ядер нейтрофилов. Железо сыворотки крови – 25 </w:t>
      </w:r>
      <w:proofErr w:type="spellStart"/>
      <w:r w:rsidRPr="00C94986">
        <w:rPr>
          <w:rFonts w:ascii="Times New Roman" w:hAnsi="Times New Roman"/>
          <w:sz w:val="28"/>
          <w:szCs w:val="28"/>
        </w:rPr>
        <w:t>мкмоль</w:t>
      </w:r>
      <w:proofErr w:type="spellEnd"/>
      <w:r w:rsidRPr="00C94986">
        <w:rPr>
          <w:rFonts w:ascii="Times New Roman" w:hAnsi="Times New Roman"/>
          <w:sz w:val="28"/>
          <w:szCs w:val="28"/>
        </w:rPr>
        <w:t>/л.</w:t>
      </w:r>
    </w:p>
    <w:p w:rsidR="00C94986" w:rsidRPr="00C94986" w:rsidRDefault="00C94986" w:rsidP="00C94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4986" w:rsidRPr="00C94986" w:rsidRDefault="00C94986" w:rsidP="00C94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94986">
        <w:rPr>
          <w:rFonts w:ascii="Times New Roman" w:hAnsi="Times New Roman"/>
          <w:b/>
          <w:sz w:val="28"/>
          <w:szCs w:val="28"/>
        </w:rPr>
        <w:t>Вопросы к задаче: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</w:rPr>
        <w:t>1. Предположите наиболее вероятный диагноз.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  <w:u w:val="single"/>
        </w:rPr>
        <w:t>Ответ:</w:t>
      </w:r>
      <w:r w:rsidRPr="00C94986">
        <w:rPr>
          <w:rFonts w:ascii="Times New Roman" w:hAnsi="Times New Roman"/>
          <w:sz w:val="28"/>
          <w:szCs w:val="28"/>
        </w:rPr>
        <w:t xml:space="preserve">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</w:rPr>
        <w:t>12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-дефицитная анемия, среднетяжёлое течение.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Фуникулярный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миелоз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. 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</w:rPr>
        <w:t>12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-индуцированная миокардиодистрофия. НК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I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ст. (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II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ФК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/>
        </w:rPr>
        <w:t>NYHA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).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2. </w:t>
      </w:r>
      <w:r w:rsidRPr="00C94986">
        <w:rPr>
          <w:rFonts w:ascii="Times New Roman" w:eastAsia="Times New Roman" w:hAnsi="Times New Roman" w:cs="Times New Roman"/>
          <w:sz w:val="28"/>
          <w:szCs w:val="28"/>
        </w:rPr>
        <w:t>Обоснуйте поставленный Вами диагноз.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949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Ответ: </w:t>
      </w:r>
    </w:p>
    <w:p w:rsidR="00C94986" w:rsidRPr="00C94986" w:rsidRDefault="00C94986" w:rsidP="00C949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диагноз 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</w:rPr>
        <w:t>12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-дефицитной анемии,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фуникулярного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миелоза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установлен на основании наличия у пациентки синдромов, характерных для данного заболевания:</w:t>
      </w:r>
    </w:p>
    <w:p w:rsidR="00C94986" w:rsidRPr="00C94986" w:rsidRDefault="00C94986" w:rsidP="00C949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гематологического синдрома (признаки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гиперхромной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макроцитарной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анемии в общем анализе крови, тромбоцитопения, лейкопения,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мегалобластный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тип кроветворения в мазке крови);</w:t>
      </w:r>
    </w:p>
    <w:p w:rsidR="00C94986" w:rsidRPr="00C94986" w:rsidRDefault="00C94986" w:rsidP="00C949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неврологического синдрома (чувство онемения в конечностях, нарушение глубокой чувствительности);</w:t>
      </w:r>
    </w:p>
    <w:p w:rsidR="00C94986" w:rsidRPr="00C94986" w:rsidRDefault="00C94986" w:rsidP="00C94986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гастро-энтерологического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синдрома (плохой аппетит, сглаженность сосочков языка),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циркуляторно-гипоксического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синдрома (общая слабость, одышка при ходьбе, кожные покровы, слизистые бледные с желтушным оттенком, приглушение тонов сердца, дующий систолический шум на верхушке сердца, ЧСС 90 </w:t>
      </w:r>
      <w:proofErr w:type="gram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в</w:t>
      </w:r>
      <w:proofErr w:type="gram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</w:t>
      </w:r>
      <w:proofErr w:type="gram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мин</w:t>
      </w:r>
      <w:proofErr w:type="gram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, АД 110/60 мм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рт.ст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.);</w:t>
      </w:r>
    </w:p>
    <w:p w:rsidR="00C94986" w:rsidRPr="00C94986" w:rsidRDefault="00C94986" w:rsidP="00C949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степень тяжести течения анемии установлена на основании уровня гемоглобина (85 г/л).</w:t>
      </w:r>
    </w:p>
    <w:p w:rsidR="00C94986" w:rsidRPr="00C94986" w:rsidRDefault="00C94986" w:rsidP="00C94986">
      <w:pPr>
        <w:pStyle w:val="a3"/>
        <w:numPr>
          <w:ilvl w:val="0"/>
          <w:numId w:val="1"/>
        </w:num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lastRenderedPageBreak/>
        <w:t>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  <w:lang w:eastAsia="ru-RU"/>
        </w:rPr>
        <w:t>12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-индуцированная миокардиодистрофия, НК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 w:eastAsia="ru-RU"/>
        </w:rPr>
        <w:t>I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 ст. (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 w:eastAsia="ru-RU"/>
        </w:rPr>
        <w:t>II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 xml:space="preserve"> ФК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val="en-US" w:eastAsia="ru-RU"/>
        </w:rPr>
        <w:t>NYHA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) диагностирована на основании жалоб (одышка при ходьбе), данных осмотра (</w:t>
      </w:r>
      <w:r w:rsidRPr="00C94986">
        <w:rPr>
          <w:rFonts w:ascii="Times New Roman" w:hAnsi="Times New Roman"/>
          <w:sz w:val="28"/>
          <w:szCs w:val="28"/>
        </w:rPr>
        <w:t>тоны сердца приглушены, дующий систолический шум на верхушке, ЧСС 90 уд</w:t>
      </w:r>
      <w:proofErr w:type="gramStart"/>
      <w:r w:rsidRPr="00C94986">
        <w:rPr>
          <w:rFonts w:ascii="Times New Roman" w:hAnsi="Times New Roman"/>
          <w:sz w:val="28"/>
          <w:szCs w:val="28"/>
        </w:rPr>
        <w:t>.</w:t>
      </w:r>
      <w:proofErr w:type="gramEnd"/>
      <w:r w:rsidRPr="00C949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94986">
        <w:rPr>
          <w:rFonts w:ascii="Times New Roman" w:hAnsi="Times New Roman"/>
          <w:sz w:val="28"/>
          <w:szCs w:val="28"/>
        </w:rPr>
        <w:t>в</w:t>
      </w:r>
      <w:proofErr w:type="gramEnd"/>
      <w:r w:rsidRPr="00C94986">
        <w:rPr>
          <w:rFonts w:ascii="Times New Roman" w:hAnsi="Times New Roman"/>
          <w:sz w:val="28"/>
          <w:szCs w:val="28"/>
        </w:rPr>
        <w:t xml:space="preserve"> минуту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lang w:eastAsia="ru-RU"/>
        </w:rPr>
        <w:t>).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986">
        <w:rPr>
          <w:rFonts w:ascii="Times New Roman" w:hAnsi="Times New Roman"/>
          <w:sz w:val="28"/>
          <w:szCs w:val="28"/>
        </w:rPr>
        <w:t xml:space="preserve">3. </w:t>
      </w:r>
      <w:r w:rsidRPr="00C94986">
        <w:rPr>
          <w:rFonts w:ascii="Times New Roman" w:eastAsia="Times New Roman" w:hAnsi="Times New Roman" w:cs="Times New Roman"/>
          <w:sz w:val="28"/>
          <w:szCs w:val="28"/>
        </w:rPr>
        <w:t>Составьте и обоснуйте план дополнительного обследования пациента.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4986">
        <w:rPr>
          <w:rFonts w:ascii="Times New Roman" w:eastAsia="Times New Roman" w:hAnsi="Times New Roman" w:cs="Times New Roman"/>
          <w:sz w:val="28"/>
          <w:szCs w:val="28"/>
          <w:u w:val="single"/>
        </w:rPr>
        <w:t>Ответ:</w:t>
      </w:r>
      <w:r w:rsidRPr="00C94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необходимо выполнить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биохимичский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анализ крови (общий билирубин и его фракции, уровень 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</w:rPr>
        <w:t>12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в сыворотке крови), рентгенологическое исследование органов грудной клетки, ЭГДС с морфологическим исследованием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биоптатов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, эндоскопическое исследование кишечника, УЗИ органов брюшной полости, анализ кала на скрытую кровь, исследование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копрограммы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, исследование кала на яйца глист (с целью поиска возможной причины анемии -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восплительные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, деструктивные поражения желудочно-кишечного тракта, заболевания печени, паразитарные заболевания</w:t>
      </w:r>
      <w:proofErr w:type="gram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, онкологические заболевания), ЭКГ,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ЭхоКГ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(с целью оценки степени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миокардиодистофии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на фоне анемии), консультация невролога (оценка выраженности неврологических нарушений при анемии, диагностика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фуникулярного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миелоза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). Пункция костного мозга (диагностика анемии, исключение лейкоза).</w:t>
      </w:r>
    </w:p>
    <w:p w:rsidR="00C94986" w:rsidRPr="00C94986" w:rsidRDefault="00C94986" w:rsidP="00C94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86">
        <w:rPr>
          <w:rFonts w:ascii="Times New Roman" w:hAnsi="Times New Roman" w:cs="Times New Roman"/>
          <w:color w:val="000000"/>
          <w:sz w:val="28"/>
          <w:szCs w:val="28"/>
        </w:rPr>
        <w:t>4. Определите тактику ведения пациента.</w:t>
      </w:r>
    </w:p>
    <w:p w:rsidR="00787766" w:rsidRPr="00C94986" w:rsidRDefault="00C94986" w:rsidP="00C94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86">
        <w:rPr>
          <w:rFonts w:ascii="Times New Roman" w:hAnsi="Times New Roman" w:cs="Times New Roman"/>
          <w:color w:val="000000"/>
          <w:sz w:val="28"/>
          <w:szCs w:val="28"/>
          <w:u w:val="single"/>
        </w:rPr>
        <w:t>Ответ:</w:t>
      </w:r>
      <w:r w:rsidRPr="00C94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пациентке показана терапия препаратами витамина В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  <w:vertAlign w:val="subscript"/>
        </w:rPr>
        <w:t xml:space="preserve">12 </w:t>
      </w:r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(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цианокобаламин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) или его аналогами  в суточной дозе 500 мкг внутримышечно ежедневно до нормализации уровня гемоглобина (на 5-7 день терапии необходимо исследовать уровень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ретикулоцитов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 xml:space="preserve"> в периферической крови) с последующим переводом на профилактическое лечение - однократное ежемесячное пожизненное парентеральное введение </w:t>
      </w:r>
      <w:proofErr w:type="spellStart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цианокабаламина</w:t>
      </w:r>
      <w:proofErr w:type="spellEnd"/>
      <w:r w:rsidRPr="00C94986">
        <w:rPr>
          <w:rFonts w:ascii="Times New Roman" w:eastAsia="Times New Roman" w:hAnsi="Times New Roman" w:cs="Times New Roman"/>
          <w:spacing w:val="2"/>
          <w:kern w:val="24"/>
          <w:sz w:val="28"/>
          <w:szCs w:val="28"/>
        </w:rPr>
        <w:t>.</w:t>
      </w:r>
    </w:p>
    <w:sectPr w:rsidR="00787766" w:rsidRPr="00C94986" w:rsidSect="00580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D7806"/>
    <w:multiLevelType w:val="hybridMultilevel"/>
    <w:tmpl w:val="B4E2D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053AB"/>
    <w:multiLevelType w:val="hybridMultilevel"/>
    <w:tmpl w:val="78A26C1E"/>
    <w:lvl w:ilvl="0" w:tplc="D5E43A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766"/>
    <w:rsid w:val="00580AF8"/>
    <w:rsid w:val="00787766"/>
    <w:rsid w:val="007932B6"/>
    <w:rsid w:val="00C94986"/>
    <w:rsid w:val="00E1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766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78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2020-03-24T14:13:00Z</dcterms:created>
  <dcterms:modified xsi:type="dcterms:W3CDTF">2020-03-24T15:16:00Z</dcterms:modified>
</cp:coreProperties>
</file>